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0D8F" w:rsidRDefault="00D306A7" w:rsidP="00D306A7">
      <w:pPr>
        <w:spacing w:line="240" w:lineRule="atLeast"/>
        <w:jc w:val="center"/>
        <w:rPr>
          <w:rFonts w:ascii="Times New Roman" w:hAnsi="Times New Roman"/>
          <w:b/>
          <w:sz w:val="24"/>
          <w:szCs w:val="24"/>
          <w:lang w:val="uk-UA"/>
        </w:rPr>
      </w:pPr>
      <w:r w:rsidRPr="00B401C5">
        <w:rPr>
          <w:rFonts w:ascii="Times New Roman" w:hAnsi="Times New Roman"/>
          <w:b/>
          <w:sz w:val="24"/>
          <w:szCs w:val="24"/>
          <w:lang w:val="uk-UA"/>
        </w:rPr>
        <w:t xml:space="preserve">ВІННИЦЬКИЙ НАЦІОНАЛЬНИЙ МЕДИЧНИЙ УНІВЕРСИТЕТ </w:t>
      </w:r>
    </w:p>
    <w:p w:rsidR="00D306A7" w:rsidRPr="00B401C5" w:rsidRDefault="009A4CFC" w:rsidP="00D306A7">
      <w:pPr>
        <w:spacing w:line="240" w:lineRule="atLeast"/>
        <w:jc w:val="center"/>
        <w:rPr>
          <w:rFonts w:ascii="Times New Roman" w:hAnsi="Times New Roman"/>
          <w:b/>
          <w:sz w:val="24"/>
          <w:szCs w:val="24"/>
          <w:lang w:val="uk-UA"/>
        </w:rPr>
      </w:pPr>
      <w:r>
        <w:rPr>
          <w:rFonts w:ascii="Times New Roman" w:hAnsi="Times New Roman"/>
          <w:b/>
        </w:rPr>
        <w:t>ім.</w:t>
      </w:r>
      <w:bookmarkStart w:id="0" w:name="_GoBack"/>
      <w:bookmarkEnd w:id="0"/>
      <w:r w:rsidR="00D306A7" w:rsidRPr="00B401C5">
        <w:rPr>
          <w:rFonts w:ascii="Times New Roman" w:hAnsi="Times New Roman"/>
          <w:b/>
          <w:sz w:val="24"/>
          <w:szCs w:val="24"/>
          <w:lang w:val="uk-UA"/>
        </w:rPr>
        <w:t xml:space="preserve"> М.І. ПИРОГОВА</w:t>
      </w: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center"/>
        <w:rPr>
          <w:rFonts w:ascii="Times New Roman" w:hAnsi="Times New Roman"/>
          <w:b/>
          <w:sz w:val="40"/>
          <w:szCs w:val="40"/>
          <w:lang w:val="uk-UA"/>
        </w:rPr>
      </w:pPr>
      <w:r w:rsidRPr="00B401C5">
        <w:rPr>
          <w:rFonts w:ascii="Times New Roman" w:hAnsi="Times New Roman"/>
          <w:b/>
          <w:sz w:val="40"/>
          <w:szCs w:val="40"/>
          <w:lang w:val="uk-UA"/>
        </w:rPr>
        <w:t>ІНТЕРНАТУРА</w:t>
      </w:r>
    </w:p>
    <w:p w:rsidR="00D306A7" w:rsidRPr="00B401C5" w:rsidRDefault="00D306A7" w:rsidP="00D306A7">
      <w:pPr>
        <w:spacing w:line="240" w:lineRule="atLeast"/>
        <w:jc w:val="center"/>
        <w:rPr>
          <w:rFonts w:ascii="Times New Roman" w:hAnsi="Times New Roman"/>
          <w:b/>
          <w:sz w:val="24"/>
          <w:szCs w:val="24"/>
          <w:lang w:val="uk-UA"/>
        </w:rPr>
      </w:pPr>
      <w:r w:rsidRPr="00B401C5">
        <w:rPr>
          <w:rFonts w:ascii="Times New Roman" w:hAnsi="Times New Roman"/>
          <w:b/>
          <w:sz w:val="24"/>
          <w:szCs w:val="24"/>
          <w:lang w:val="uk-UA"/>
        </w:rPr>
        <w:t>˝ДИТЯЧА ХІРУРГІЯ˝</w:t>
      </w:r>
    </w:p>
    <w:p w:rsidR="00D306A7" w:rsidRPr="00B401C5" w:rsidRDefault="00D306A7" w:rsidP="00D306A7">
      <w:pPr>
        <w:spacing w:line="240" w:lineRule="atLeast"/>
        <w:jc w:val="right"/>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Default="00D306A7" w:rsidP="00D306A7">
      <w:pPr>
        <w:spacing w:line="240" w:lineRule="atLeast"/>
        <w:jc w:val="both"/>
        <w:rPr>
          <w:rFonts w:ascii="Times New Roman" w:hAnsi="Times New Roman"/>
          <w:b/>
          <w:sz w:val="24"/>
          <w:szCs w:val="24"/>
          <w:lang w:val="uk-UA"/>
        </w:rPr>
      </w:pPr>
    </w:p>
    <w:p w:rsidR="008C0D8F" w:rsidRDefault="008C0D8F" w:rsidP="00D306A7">
      <w:pPr>
        <w:spacing w:line="240" w:lineRule="atLeast"/>
        <w:jc w:val="both"/>
        <w:rPr>
          <w:rFonts w:ascii="Times New Roman" w:hAnsi="Times New Roman"/>
          <w:b/>
          <w:sz w:val="24"/>
          <w:szCs w:val="24"/>
          <w:lang w:val="uk-UA"/>
        </w:rPr>
      </w:pPr>
    </w:p>
    <w:p w:rsidR="008C0D8F" w:rsidRPr="00B401C5" w:rsidRDefault="008C0D8F"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8C0D8F">
      <w:pPr>
        <w:spacing w:line="240" w:lineRule="atLeast"/>
        <w:jc w:val="center"/>
        <w:rPr>
          <w:rFonts w:ascii="Times New Roman" w:hAnsi="Times New Roman"/>
          <w:b/>
          <w:sz w:val="52"/>
          <w:szCs w:val="52"/>
          <w:lang w:val="uk-UA"/>
        </w:rPr>
      </w:pPr>
      <w:r w:rsidRPr="00B401C5">
        <w:rPr>
          <w:rFonts w:ascii="Times New Roman" w:hAnsi="Times New Roman"/>
          <w:b/>
          <w:sz w:val="56"/>
          <w:szCs w:val="56"/>
          <w:lang w:val="uk-UA"/>
        </w:rPr>
        <w:t>Лекція</w:t>
      </w:r>
      <w:r w:rsidRPr="00B401C5">
        <w:rPr>
          <w:rFonts w:ascii="Times New Roman" w:hAnsi="Times New Roman"/>
          <w:b/>
          <w:sz w:val="52"/>
          <w:szCs w:val="52"/>
          <w:lang w:val="uk-UA"/>
        </w:rPr>
        <w:t xml:space="preserve">: </w:t>
      </w:r>
      <w:r w:rsidRPr="008C0D8F">
        <w:rPr>
          <w:rFonts w:ascii="Times New Roman" w:hAnsi="Times New Roman"/>
          <w:b/>
          <w:sz w:val="40"/>
          <w:szCs w:val="40"/>
          <w:lang w:val="uk-UA"/>
        </w:rPr>
        <w:t>Адреногенітальний синдром у дівчат.</w:t>
      </w:r>
    </w:p>
    <w:p w:rsidR="00D306A7" w:rsidRPr="00B401C5" w:rsidRDefault="00D306A7" w:rsidP="008C0D8F">
      <w:pPr>
        <w:spacing w:line="240" w:lineRule="atLeast"/>
        <w:jc w:val="center"/>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spacing w:line="240" w:lineRule="atLeast"/>
        <w:jc w:val="both"/>
        <w:rPr>
          <w:rFonts w:ascii="Times New Roman" w:hAnsi="Times New Roman"/>
          <w:b/>
          <w:sz w:val="24"/>
          <w:szCs w:val="24"/>
          <w:lang w:val="uk-UA"/>
        </w:rPr>
      </w:pP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Захворювання описали Apert і Gallais (1908). Воно спричинюється гіперпродукцією статевих стероїдних гормонів, які виробляє змінена сітчаста зона надниркових залоз. Це захворювання привертало увагу ще за давніх часів. Порушення мали вигляд чітко виражених змін і аномалій, що наставали у хворих при завчасному статевому розвитку в дитячому віці. Спостерігалися надмірне оволосіння за чоловічим типом і психічні порушення у жінок, розвиток молочних залоз у чоловіків тощо.</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rStyle w:val="a8"/>
          <w:rFonts w:eastAsia="Calibri"/>
          <w:color w:val="000000"/>
          <w:sz w:val="28"/>
          <w:szCs w:val="28"/>
          <w:lang w:val="uk-UA"/>
        </w:rPr>
        <w:t>Синдром Апера - Галле</w:t>
      </w:r>
      <w:r w:rsidRPr="00B401C5">
        <w:rPr>
          <w:rStyle w:val="apple-converted-space"/>
          <w:color w:val="000000"/>
          <w:sz w:val="28"/>
          <w:szCs w:val="28"/>
          <w:lang w:val="uk-UA"/>
        </w:rPr>
        <w:t> </w:t>
      </w:r>
      <w:r w:rsidRPr="00B401C5">
        <w:rPr>
          <w:color w:val="000000"/>
          <w:sz w:val="28"/>
          <w:szCs w:val="28"/>
          <w:lang w:val="uk-UA"/>
        </w:rPr>
        <w:t>виявляється рідко. Згідно з Prader, на 5000 населення спостерігається один випадок захворювання. Воно трапляється переважно в ранньому дитячому віці, і частота його зменшується у дорослих. Іноді відзначається спадковий характер захворювання.</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rStyle w:val="a8"/>
          <w:rFonts w:eastAsia="Calibri"/>
          <w:iCs/>
          <w:color w:val="000000"/>
          <w:sz w:val="28"/>
          <w:szCs w:val="28"/>
          <w:lang w:val="uk-UA"/>
        </w:rPr>
        <w:t>Етіопатогенез</w:t>
      </w:r>
      <w:r w:rsidRPr="00B401C5">
        <w:rPr>
          <w:rStyle w:val="a8"/>
          <w:rFonts w:eastAsia="Calibri"/>
          <w:i/>
          <w:iCs/>
          <w:color w:val="000000"/>
          <w:sz w:val="28"/>
          <w:szCs w:val="28"/>
          <w:lang w:val="uk-UA"/>
        </w:rPr>
        <w:t>.</w:t>
      </w:r>
      <w:r w:rsidRPr="00B401C5">
        <w:rPr>
          <w:rStyle w:val="apple-converted-space"/>
          <w:i/>
          <w:iCs/>
          <w:color w:val="000000"/>
          <w:sz w:val="28"/>
          <w:szCs w:val="28"/>
          <w:lang w:val="uk-UA"/>
        </w:rPr>
        <w:t> </w:t>
      </w:r>
      <w:r w:rsidRPr="00B401C5">
        <w:rPr>
          <w:color w:val="000000"/>
          <w:sz w:val="28"/>
          <w:szCs w:val="28"/>
          <w:lang w:val="uk-UA"/>
        </w:rPr>
        <w:t xml:space="preserve">Цей синдром обумовлюється гіперпродукцією андрогенних і естрогенних гормонів, а також їхніх біохімічних метаболтв. Останні мають різну гормональну активність. Кількість виділених стероїдних гормонів безпосередньо залежить від виду патологоанатомічних змін у корі надниркових залоз - гіперплазії або пухлини - і від секреторної активності. Найчастіше він спричинюється природженою дифузною гіперплазією сітчастої зони кори надниркових залоз, рідше - доброякісною або злоякісною пухлиною кори. Синдром може передаватися спадково як рецесивна ознака, при якій носії мають порушений стероїдосинтез. Для природженої форми цього захворювання характерно те, що ознаки його з’являються зразу після народження. Звичайно переважає секреція андрогенних гормонів, що обумовлює розвиток вірилізму. Внаслідок цього у жінок андрогенна активність розвивається в напрямку гетеросексуалізму, а у чоловіків - ізосексуалізму. Набагато рідше спостерігається переважання підвищеної продукції естрогенів, які обумовлюють розвиток гомосексуальних явищ у жінок, і гетеросексуальних явищ у чоловіків, що виявляються фемінізацією. Відомо, що надниркові залози починають функціонувати ще в період внутрішньоутробного розвитку плода. Через це при адреногенітальному синдромі вироблення надлишку андрогенних і естрогенних гормонів впливає на вже сформований у статевому відношенні плід. Зміни статевої </w:t>
      </w:r>
      <w:r w:rsidRPr="00B401C5">
        <w:rPr>
          <w:color w:val="000000"/>
          <w:sz w:val="28"/>
          <w:szCs w:val="28"/>
          <w:lang w:val="uk-UA"/>
        </w:rPr>
        <w:lastRenderedPageBreak/>
        <w:t>системи, первинних і вторинних статевих ознак тим виразніші, чим раніше під час розвитку плода розвинулася підвищена функція кори надниркових залоз.</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Крім природженої форми гіперплазії кори надниркових залоз, трапляється і набута, що може з’явитися в осіб чоловічої і жіночої статі під час пубертатного періоду або через деякий час по тому.</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Припускають, що синтез гормонів кори надниркових залоз при адреногенітальному синдромі , спричинений гіперплазією сітчастої зони кори, порушується, спотворюється або блокується через нестачу ензимів на певній стадії стероїдогенезу. Внаслідок порушень біосинтезу кортикостероїдних гормонів кора надниркових залоз утрачає спроможність довести синтез до виділення кортизолу, що має інгібуючий вплив на передню частку гіпофіза. При цьому порушується регуляторний взаємозв’язок між корою надниркових залоз і гіпофізом. Аденогіпофіз починає секретувати підвищену кількість АКТГ, що призводить до гіперплазії кори надниркових залоз. Наслідком порушення цих процесів є та обставина, що андрогени й естрогени не досягають стадії кортизолу, і їхня кількість різко зростає. Вони пригнічують гонадотропну функцію передньої частки гіпофіза, що спричинює гіпотрофію й атрофію статевих залоз. Настає гіпотрофія статевої системи. У дівчаток це виявляється первинною аменореєю і безплідністю, а у хлопчиків - гіпоплазією яєчок і аспермагенезом.</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rStyle w:val="a9"/>
          <w:rFonts w:eastAsia="Calibri"/>
          <w:b/>
          <w:bCs/>
          <w:i w:val="0"/>
          <w:color w:val="000000"/>
          <w:sz w:val="28"/>
          <w:szCs w:val="28"/>
          <w:lang w:val="uk-UA"/>
        </w:rPr>
        <w:t>Клінічна картина</w:t>
      </w:r>
      <w:r w:rsidRPr="00B401C5">
        <w:rPr>
          <w:rStyle w:val="apple-converted-space"/>
          <w:color w:val="000000"/>
          <w:sz w:val="28"/>
          <w:szCs w:val="28"/>
          <w:lang w:val="uk-UA"/>
        </w:rPr>
        <w:t> </w:t>
      </w:r>
      <w:r w:rsidRPr="00B401C5">
        <w:rPr>
          <w:color w:val="000000"/>
          <w:sz w:val="28"/>
          <w:szCs w:val="28"/>
          <w:lang w:val="uk-UA"/>
        </w:rPr>
        <w:t>адреногенітального синдрому обумовлена гіперсекрецією андрогенних і естрогенних гормонів сітчастої зони кори надниркових залоз. Клінічні прояви залежать від часу розвитку дисфункціональних відношень (внутрішньоутробно, до або після пубертатного періоду), статі, характеру патологоанатомічних змін у надниркових залозах (гіперплазія, доброякісна або злоякісна пухлина). Цей синдром розділяється на природжений і набутий, може мати пухлинне і непухлинне походження, а також залежить від статі хворого.</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rStyle w:val="a8"/>
          <w:rFonts w:eastAsia="Calibri"/>
          <w:color w:val="000000"/>
          <w:sz w:val="28"/>
          <w:szCs w:val="28"/>
          <w:lang w:val="uk-UA"/>
        </w:rPr>
        <w:t>Адреногенітальний синдром у осіб чоловічої статі.</w:t>
      </w:r>
      <w:r w:rsidRPr="00B401C5">
        <w:rPr>
          <w:rStyle w:val="apple-converted-space"/>
          <w:color w:val="000000"/>
          <w:sz w:val="28"/>
          <w:szCs w:val="28"/>
          <w:lang w:val="uk-UA"/>
        </w:rPr>
        <w:t> </w:t>
      </w:r>
      <w:r w:rsidRPr="00B401C5">
        <w:rPr>
          <w:color w:val="000000"/>
          <w:sz w:val="28"/>
          <w:szCs w:val="28"/>
          <w:lang w:val="uk-UA"/>
        </w:rPr>
        <w:t xml:space="preserve">Природжена ізосексуальна форма адреногенітального синдрому у хлопчиків розвивається при підвищенні продукції андрогенних гормонів під час внутрішньоутробного періоду. Вона спричинюється винятково природженою гіперплазією та гіперфункцією кори </w:t>
      </w:r>
      <w:r w:rsidRPr="00B401C5">
        <w:rPr>
          <w:color w:val="000000"/>
          <w:sz w:val="28"/>
          <w:szCs w:val="28"/>
          <w:lang w:val="uk-UA"/>
        </w:rPr>
        <w:lastRenderedPageBreak/>
        <w:t>надниркових залоз. Через те, що стать дитини вже сформувалася, гіперпродукція гормону призводить до розвитку вад статевої системи, зокрема зовнішніх статевих органів. Внаслідок цього хлопчики народжуються з ознаками макрогенітосомії. Синдром виявляється після народження дитини. Вторинні статеві ознаки і зовнішні статеві органи розвиваються передчасно. Дитина швидко набуває вигляду дорослого чоловіка з оволосінням лобка, шкіри обличчя (ростуть борода і вуса).</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Мускулатура і кістковий скелет нагадують за виглядом дорослого індивіда. Голос грубішає, змінюється його тембр. Така дитина схожа на маленького Геркулеса. Ці ознаки андрогенізму контрастують з невеличкими яєчками, у яких при гістологічному дослідженні виявляють гіпоплазію й атрофію.</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Спочатку дитина росте дуже швидко, але незабаром ріст припиняється внаслідок передчасного скостеніння епіфізарних хрящів. Атрофія яєчок спричинюється зниженою гонадотропною активністю гіпофіза, функцію якого пригнічує надмірна продукція андрогенів. Ці діти схильні до мастурбації, сексуальної агресивності. У них спостерігаються тяжкі неврози.</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Якщо набута ізосексуальна форма адреногенітального синдрому розвивається у хлопчиків в дитячому віці, то практично в усіх випадках вона обумовлюється пухлиною кори надниркових залоз, найчастше злоякісного характеру. Природжена форма цього синдрому виявляється відразу ж після народження дитини, а набута - тільки в ранньому дитячому віці . Для клініки синдрому характерні симптоми природженої ізосексуальності. Між народженням дитини і появою ознак цього синдрому минає деякий час. Ізосексуальна форма синдрому може розвинутися й у дорослих чоловіків, але без клінічно вираженої гіперандрогенії. Поєднання гіперандрогенії з порушеннями обміну речовин свідчить про злоякісне її походження.</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rStyle w:val="a8"/>
          <w:rFonts w:eastAsia="Calibri"/>
          <w:color w:val="000000"/>
          <w:sz w:val="28"/>
          <w:szCs w:val="28"/>
          <w:lang w:val="uk-UA"/>
        </w:rPr>
        <w:t>Адреногенітальний синдром в осіб жіночої статі.</w:t>
      </w:r>
      <w:r w:rsidRPr="00B401C5">
        <w:rPr>
          <w:rStyle w:val="apple-converted-space"/>
          <w:color w:val="000000"/>
          <w:sz w:val="28"/>
          <w:szCs w:val="28"/>
          <w:lang w:val="uk-UA"/>
        </w:rPr>
        <w:t> </w:t>
      </w:r>
      <w:r w:rsidRPr="00B401C5">
        <w:rPr>
          <w:color w:val="000000"/>
          <w:sz w:val="28"/>
          <w:szCs w:val="28"/>
          <w:lang w:val="uk-UA"/>
        </w:rPr>
        <w:t xml:space="preserve">Природжена гетеросексуальна форма адреногенітального синдрому, що вірилізує, у новонароджених дівчаток найчастіше виявляється у формі psaeudohermaphroditismus. Внаслідок високої секреції андрогенів відбувається гетеросексуальний розвиток плода, що призводить до відхилення його від генетичної жіночої статі. Такі діти генетично належать до </w:t>
      </w:r>
      <w:r w:rsidRPr="00B401C5">
        <w:rPr>
          <w:color w:val="000000"/>
          <w:sz w:val="28"/>
          <w:szCs w:val="28"/>
          <w:lang w:val="uk-UA"/>
        </w:rPr>
        <w:lastRenderedPageBreak/>
        <w:t>жіночої статі. Псевдомаскулінний вигляд новонародженої дівчинки тим виразніший, чим раніше під час внутрішньоутробного розвитку плода настала гіперсекреція андрогенів надниркових залоз. У цих дівчаток немає матки, яєчників і фаллопієвих труб. Після 6-го місяця вагітності, коли статевий апарат плода цілком сформувався, надлишкова продукція андрогенів спричинює лише гіпертрофію клітора, вірильне оволосіння і соматичну конституцію тіла за чоловічим типом. Гіпертрофований клітор може досягти розмірів чоловічого статевого члена з несправжньою крайньою плоттю. Зовнішній отвір сечовода відкривається в основі пенісоподібного клітора і нагадує гіпоспадію. Піхва мілка, вузька й атрофічна. При більш значній гіпертрофії великих статевих губ злиття їх може бути схожим на мошонку. Можливі помилки при визначенні статі дитини.</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Якщо набута гетеросексуальна форма адреногенітального синдрому, що вірилізує, у дівчаток розвивається пізно, у передпубертатний період, то уже цілком сформовані внутрішні й зовнішні статеві органи. Підвищена секреція андрогенів несприятливо впливає на їхній подальший розвиток. Яєчники, матка і піхва залишаються атрофічними, а настання статевого розвитку запізнюється. Великі статеві губи зазнають гіпертрофії. Синдром виявляється переважно гетеросексуальними вторинними статевими ознаками. Оволосіння лобка - за чоловічим типом. Волосся виростає на обличчі, як у чоловіків. Голос грубішає, набуває чоловічого тембру. Паренхіма молочних залоз атрофується. На зріст дівчатка випереджають своїх одноліток , але з 10-12 років ріст припиняється, і вони залишаються низькими. Будова скелета набуває андрогенного вигляду. Хода і поводження - чоловічого типу.</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Інтелектуальний і психічний розвиток зазнає хибної гетеросексуальної зміни. У деяких дівчат розвивається чоловіча психіка і потяг до жіночої статі, а в інших - почуття неповноцінності . Вони стають лабільними, дратівливими. Виникає тяжка психічна депресія. У молодих жінок при набутому синдромі виявляються вторинна аменорея, гіпомастія, гірсутизм за чоловічим типом.</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rStyle w:val="a8"/>
          <w:rFonts w:eastAsia="Calibri"/>
          <w:color w:val="000000"/>
          <w:sz w:val="28"/>
          <w:szCs w:val="28"/>
          <w:lang w:val="uk-UA"/>
        </w:rPr>
        <w:t>Адреногенітальний синдром, що фемінізує.</w:t>
      </w:r>
      <w:r w:rsidRPr="00B401C5">
        <w:rPr>
          <w:rStyle w:val="apple-converted-space"/>
          <w:color w:val="000000"/>
          <w:sz w:val="28"/>
          <w:szCs w:val="28"/>
          <w:lang w:val="uk-UA"/>
        </w:rPr>
        <w:t> </w:t>
      </w:r>
      <w:r w:rsidRPr="00B401C5">
        <w:rPr>
          <w:color w:val="000000"/>
          <w:sz w:val="28"/>
          <w:szCs w:val="28"/>
          <w:lang w:val="uk-UA"/>
        </w:rPr>
        <w:t xml:space="preserve">Природжена гетеросексуальна форма, що фемінізує, в осіб чоловічої статі виявляється чоловічим псевдогермафродитизмом. Трапляється дуже рідко і пов’язана з гіперплазією </w:t>
      </w:r>
      <w:r w:rsidRPr="00B401C5">
        <w:rPr>
          <w:color w:val="000000"/>
          <w:sz w:val="28"/>
          <w:szCs w:val="28"/>
          <w:lang w:val="uk-UA"/>
        </w:rPr>
        <w:lastRenderedPageBreak/>
        <w:t>сітчастої зони кори надниркових залоз. Чоловічий псевдогермафродитизм характеризується гіпоплазією й атрофією статевих органів, двобічним абдомінальним крипторхізмом, атрофією яєчок і аспермагенезом. Розвивається гінекомастія. Голос стає тонким і набуває жіночого тембру. Оволосіння тіла мізерне, за жіночим типом. Лібідо знижене або відсутнє. Жирові відкладення перерозподілені за жіночим типом. Кістковий скелет жіночний, із широким тазом і вузькими плечима. Мускулатура слабо розвинута.</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Набута гетеросексуальна форма адреногенітального синдрому, що фемінізує, у чоловіків обумовлюється секрецією великої кількості естрогенів пухлиною кори надниркових залоз - кортикостеромою. Характер пухлини найчастіше злоякісний. Через новоутворення, що клінічно фемінізує, у чоловіків виражаються симптоми девірилізації. Оволосіння зменшується і набуває жіночого типу, голос стає тонким. Яєчка атрофуються, розвивається гінекомастія. Яскраво виявляються зміни психіки і поведінки хворих.</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При ізосексуальній формі адреногенітального синдрому, що фемінізує, у жінок відбувається гіперпродукція естрогенів кори надниркових залоз у ранньому пубертатному періоді . Вона пов’язана з пухлиною надниркових залоз. Захворювання трапляється рідко. Період статевого дозрівання у дівчаток настає дуже рано, а у жінок підсилюються статеві та соматичні ознаки жіночої статі.</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У практичній медицині виявляється природжений адреногенітальний синдром, комбінований з іншими ознаками порушення функції кори надниркових залоз і змішані форми адреногенітального синдрому.</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rStyle w:val="a9"/>
          <w:rFonts w:eastAsia="Calibri"/>
          <w:b/>
          <w:bCs/>
          <w:i w:val="0"/>
          <w:color w:val="000000"/>
          <w:sz w:val="28"/>
          <w:szCs w:val="28"/>
          <w:lang w:val="uk-UA"/>
        </w:rPr>
        <w:t>Діагноз і диференційний діагноз.</w:t>
      </w:r>
      <w:r w:rsidRPr="00B401C5">
        <w:rPr>
          <w:rStyle w:val="apple-converted-space"/>
          <w:color w:val="000000"/>
          <w:sz w:val="28"/>
          <w:szCs w:val="28"/>
          <w:lang w:val="uk-UA"/>
        </w:rPr>
        <w:t> </w:t>
      </w:r>
      <w:r w:rsidRPr="00B401C5">
        <w:rPr>
          <w:color w:val="000000"/>
          <w:sz w:val="28"/>
          <w:szCs w:val="28"/>
          <w:lang w:val="uk-UA"/>
        </w:rPr>
        <w:t>Захворювання через велику розмаїтсть клінічної картини визначити важко. Адреногенітальний синдром необхідно диференціювати із передчасним змужнінням, спричиненим іншими захворюваннями (злоякісне новоутворення яєчок, пухлина епіфіза, ураження третього мозкового шлуночка), розвиток яких починається пізно - після настання статевого дозрівання.</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lastRenderedPageBreak/>
        <w:t>Пухлини яєчників, що андрогенізують, також можуть призвести до розвитку адреногенітального синдрому. До них належать адренобластома, лютеома, текома тощо, розвиток яких починається після статевого дозрівання.</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rStyle w:val="a8"/>
          <w:rFonts w:eastAsia="Calibri"/>
          <w:color w:val="000000"/>
          <w:sz w:val="28"/>
          <w:szCs w:val="28"/>
          <w:lang w:val="uk-UA"/>
        </w:rPr>
        <w:t>Синдром Штейна-Левенталя</w:t>
      </w:r>
      <w:r w:rsidRPr="00B401C5">
        <w:rPr>
          <w:rStyle w:val="apple-converted-space"/>
          <w:color w:val="000000"/>
          <w:sz w:val="28"/>
          <w:szCs w:val="28"/>
          <w:lang w:val="uk-UA"/>
        </w:rPr>
        <w:t> </w:t>
      </w:r>
      <w:r w:rsidRPr="00B401C5">
        <w:rPr>
          <w:color w:val="000000"/>
          <w:sz w:val="28"/>
          <w:szCs w:val="28"/>
          <w:lang w:val="uk-UA"/>
        </w:rPr>
        <w:t>спричинюється кістозною дегенерацією яєчників. Справжній гермафродитизм розвивається пізно, у пубертатному віці, тимчасом як псевдогермафродитизм виявляється відразу після народження дитини. При справжньому гермафродитизмі в одного індивіда виявляються залози чоловічої та жіночої статі.</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rStyle w:val="a9"/>
          <w:rFonts w:eastAsia="Calibri"/>
          <w:b/>
          <w:bCs/>
          <w:i w:val="0"/>
          <w:color w:val="000000"/>
          <w:sz w:val="28"/>
          <w:szCs w:val="28"/>
          <w:lang w:val="uk-UA"/>
        </w:rPr>
        <w:t>Лікування</w:t>
      </w:r>
      <w:r w:rsidRPr="00B401C5">
        <w:rPr>
          <w:rStyle w:val="a9"/>
          <w:rFonts w:eastAsia="Calibri"/>
          <w:b/>
          <w:bCs/>
          <w:color w:val="000000"/>
          <w:sz w:val="28"/>
          <w:szCs w:val="28"/>
          <w:lang w:val="uk-UA"/>
        </w:rPr>
        <w:t>.</w:t>
      </w:r>
      <w:r w:rsidRPr="00B401C5">
        <w:rPr>
          <w:rStyle w:val="apple-converted-space"/>
          <w:color w:val="000000"/>
          <w:sz w:val="28"/>
          <w:szCs w:val="28"/>
          <w:lang w:val="uk-UA"/>
        </w:rPr>
        <w:t> </w:t>
      </w:r>
      <w:r w:rsidRPr="00B401C5">
        <w:rPr>
          <w:color w:val="000000"/>
          <w:sz w:val="28"/>
          <w:szCs w:val="28"/>
          <w:lang w:val="uk-UA"/>
        </w:rPr>
        <w:t>Адреногенітальний синдром, спричинений дифузною гіперплазією сітчастої зони кори надниркових залоз, можна успішно лікувати кортизоном або його похідними - преднізолоном, дексаметазоном тощо. Це лікування має замісний ефект. Введений ззовні кортизон нормалізує рівень кортизолу і пригнічує гіперсекрецію гіпофіза. Внаслідок цього секреція андрогенів і естрогенів корою надниркових залоз знижується, зникають симптоми адреногенітального синдрому. Призначають по 100 мг на добу протягом тижня, а потім переходять до підтримуючої дози по 25 мг на день. Якщо синдром пов’язаний зі втратою натрію, то кортизон поєднують із ДОКСом. Гормональне лікування адреногенітального синдрому дає кращий ефект, якщо воно розпочато на більш ранній стадії у дитини віком до двох років.</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Хірургічне лікування адреногенітального синдрому проводять, якщо захворювання спричинено доброякісною або злоякісною пухлиною кори надниркових залоз; при змшаних формах синдрому Апера - Галле, коли гіперандроїдні симптоми захворювання комбінуються з гіперглюкокортицизмом або гіперальдостеронізмом; при гіперпластичних формах синдрому, що не піддаються лікуванню кортикоїдними гормонами.</w:t>
      </w:r>
    </w:p>
    <w:p w:rsidR="00D306A7" w:rsidRPr="00B401C5" w:rsidRDefault="00D306A7" w:rsidP="00D306A7">
      <w:pPr>
        <w:pStyle w:val="a7"/>
        <w:shd w:val="clear" w:color="auto" w:fill="FFFFFF"/>
        <w:spacing w:after="240" w:afterAutospacing="0" w:line="360" w:lineRule="auto"/>
        <w:jc w:val="both"/>
        <w:rPr>
          <w:color w:val="000000"/>
          <w:sz w:val="28"/>
          <w:szCs w:val="28"/>
          <w:lang w:val="uk-UA"/>
        </w:rPr>
      </w:pPr>
      <w:r w:rsidRPr="00B401C5">
        <w:rPr>
          <w:color w:val="000000"/>
          <w:sz w:val="28"/>
          <w:szCs w:val="28"/>
          <w:lang w:val="uk-UA"/>
        </w:rPr>
        <w:t>Виконують адреналектомію з наступною пластичною корекцією зовнішніх статевих органів за чоловічим або жіночим типом.</w:t>
      </w:r>
    </w:p>
    <w:p w:rsidR="00D306A7" w:rsidRPr="00B401C5" w:rsidRDefault="00D306A7">
      <w:pPr>
        <w:rPr>
          <w:lang w:val="uk-UA"/>
        </w:rPr>
      </w:pPr>
    </w:p>
    <w:sectPr w:rsidR="00D306A7" w:rsidRPr="00B401C5" w:rsidSect="00D306A7">
      <w:footerReference w:type="default" r:id="rId6"/>
      <w:pgSz w:w="11906" w:h="16838"/>
      <w:pgMar w:top="568" w:right="850" w:bottom="709" w:left="851" w:header="708" w:footer="13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4418" w:rsidRDefault="00EF4418" w:rsidP="00D306A7">
      <w:pPr>
        <w:spacing w:after="0" w:line="240" w:lineRule="auto"/>
      </w:pPr>
      <w:r>
        <w:separator/>
      </w:r>
    </w:p>
  </w:endnote>
  <w:endnote w:type="continuationSeparator" w:id="0">
    <w:p w:rsidR="00EF4418" w:rsidRDefault="00EF4418" w:rsidP="00D30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9188"/>
      <w:docPartObj>
        <w:docPartGallery w:val="Page Numbers (Bottom of Page)"/>
        <w:docPartUnique/>
      </w:docPartObj>
    </w:sdtPr>
    <w:sdtEndPr/>
    <w:sdtContent>
      <w:p w:rsidR="00D306A7" w:rsidRDefault="001725E3">
        <w:pPr>
          <w:pStyle w:val="a5"/>
          <w:jc w:val="right"/>
        </w:pPr>
        <w:r>
          <w:fldChar w:fldCharType="begin"/>
        </w:r>
        <w:r>
          <w:instrText xml:space="preserve"> PAGE   \* MERGEFORMAT </w:instrText>
        </w:r>
        <w:r>
          <w:fldChar w:fldCharType="separate"/>
        </w:r>
        <w:r w:rsidR="009A4CFC">
          <w:rPr>
            <w:noProof/>
          </w:rPr>
          <w:t>1</w:t>
        </w:r>
        <w:r>
          <w:rPr>
            <w:noProof/>
          </w:rPr>
          <w:fldChar w:fldCharType="end"/>
        </w:r>
      </w:p>
    </w:sdtContent>
  </w:sdt>
  <w:p w:rsidR="00D306A7" w:rsidRDefault="00D306A7">
    <w:pPr>
      <w:pStyle w:val="a5"/>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4418" w:rsidRDefault="00EF4418" w:rsidP="00D306A7">
      <w:pPr>
        <w:spacing w:after="0" w:line="240" w:lineRule="auto"/>
      </w:pPr>
      <w:r>
        <w:separator/>
      </w:r>
    </w:p>
  </w:footnote>
  <w:footnote w:type="continuationSeparator" w:id="0">
    <w:p w:rsidR="00EF4418" w:rsidRDefault="00EF4418" w:rsidP="00D306A7">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306A7"/>
    <w:rsid w:val="001725E3"/>
    <w:rsid w:val="003C01E6"/>
    <w:rsid w:val="00511AB3"/>
    <w:rsid w:val="00543860"/>
    <w:rsid w:val="00544D4A"/>
    <w:rsid w:val="00726E60"/>
    <w:rsid w:val="007F7C3E"/>
    <w:rsid w:val="008C0D8F"/>
    <w:rsid w:val="009A4CFC"/>
    <w:rsid w:val="00B401C5"/>
    <w:rsid w:val="00CE2AAB"/>
    <w:rsid w:val="00D306A7"/>
    <w:rsid w:val="00E84B91"/>
    <w:rsid w:val="00EF441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E5928"/>
  <w15:docId w15:val="{7D95C551-467F-42F2-9E87-31E132A3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306A7"/>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D306A7"/>
    <w:pPr>
      <w:tabs>
        <w:tab w:val="center" w:pos="4677"/>
        <w:tab w:val="right" w:pos="9355"/>
      </w:tabs>
      <w:spacing w:after="0" w:line="240" w:lineRule="auto"/>
    </w:pPr>
  </w:style>
  <w:style w:type="character" w:customStyle="1" w:styleId="a4">
    <w:name w:val="Верхний колонтитул Знак"/>
    <w:basedOn w:val="a0"/>
    <w:link w:val="a3"/>
    <w:uiPriority w:val="99"/>
    <w:semiHidden/>
    <w:rsid w:val="00D306A7"/>
    <w:rPr>
      <w:rFonts w:ascii="Calibri" w:eastAsia="Calibri" w:hAnsi="Calibri" w:cs="Times New Roman"/>
    </w:rPr>
  </w:style>
  <w:style w:type="paragraph" w:styleId="a5">
    <w:name w:val="footer"/>
    <w:basedOn w:val="a"/>
    <w:link w:val="a6"/>
    <w:uiPriority w:val="99"/>
    <w:unhideWhenUsed/>
    <w:rsid w:val="00D306A7"/>
    <w:pPr>
      <w:tabs>
        <w:tab w:val="center" w:pos="4677"/>
        <w:tab w:val="right" w:pos="9355"/>
      </w:tabs>
      <w:spacing w:after="0" w:line="240" w:lineRule="auto"/>
    </w:pPr>
  </w:style>
  <w:style w:type="character" w:customStyle="1" w:styleId="a6">
    <w:name w:val="Нижний колонтитул Знак"/>
    <w:basedOn w:val="a0"/>
    <w:link w:val="a5"/>
    <w:uiPriority w:val="99"/>
    <w:rsid w:val="00D306A7"/>
    <w:rPr>
      <w:rFonts w:ascii="Calibri" w:eastAsia="Calibri" w:hAnsi="Calibri" w:cs="Times New Roman"/>
    </w:rPr>
  </w:style>
  <w:style w:type="paragraph" w:styleId="a7">
    <w:name w:val="Normal (Web)"/>
    <w:basedOn w:val="a"/>
    <w:uiPriority w:val="99"/>
    <w:semiHidden/>
    <w:unhideWhenUsed/>
    <w:rsid w:val="00D306A7"/>
    <w:pPr>
      <w:spacing w:before="100" w:beforeAutospacing="1" w:after="100" w:afterAutospacing="1" w:line="240" w:lineRule="auto"/>
    </w:pPr>
    <w:rPr>
      <w:rFonts w:ascii="Times New Roman" w:eastAsia="Times New Roman" w:hAnsi="Times New Roman"/>
      <w:sz w:val="24"/>
      <w:szCs w:val="24"/>
      <w:lang w:eastAsia="ru-RU"/>
    </w:rPr>
  </w:style>
  <w:style w:type="character" w:styleId="a8">
    <w:name w:val="Strong"/>
    <w:uiPriority w:val="22"/>
    <w:qFormat/>
    <w:rsid w:val="00D306A7"/>
    <w:rPr>
      <w:b/>
      <w:bCs/>
    </w:rPr>
  </w:style>
  <w:style w:type="character" w:customStyle="1" w:styleId="apple-converted-space">
    <w:name w:val="apple-converted-space"/>
    <w:rsid w:val="00D306A7"/>
  </w:style>
  <w:style w:type="character" w:styleId="a9">
    <w:name w:val="Emphasis"/>
    <w:uiPriority w:val="20"/>
    <w:qFormat/>
    <w:rsid w:val="00D306A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7</Pages>
  <Words>1881</Words>
  <Characters>10727</Characters>
  <Application>Microsoft Office Word</Application>
  <DocSecurity>0</DocSecurity>
  <Lines>89</Lines>
  <Paragraphs>25</Paragraphs>
  <ScaleCrop>false</ScaleCrop>
  <Company>Microsoft</Company>
  <LinksUpToDate>false</LinksUpToDate>
  <CharactersWithSpaces>12583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jon malkovich</cp:lastModifiedBy>
  <cp:revision>6</cp:revision>
  <cp:lastPrinted>2013-01-16T10:20:00Z</cp:lastPrinted>
  <dcterms:created xsi:type="dcterms:W3CDTF">2013-01-15T20:00:00Z</dcterms:created>
  <dcterms:modified xsi:type="dcterms:W3CDTF">2023-11-28T20:48:00Z</dcterms:modified>
</cp:coreProperties>
</file>